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366" w:rsidRPr="00853171" w:rsidRDefault="00786366" w:rsidP="00786366">
      <w:pPr>
        <w:jc w:val="both"/>
        <w:rPr>
          <w:color w:val="000000"/>
          <w:sz w:val="22"/>
        </w:rPr>
      </w:pPr>
      <w:r>
        <w:t xml:space="preserve">Na temelju  članka 32. Statuta Općine Ivanska (Službeni vjesnik Općine Ivanska broj: 01/13 i 11/13.), </w:t>
      </w:r>
      <w:r w:rsidRPr="00853171">
        <w:rPr>
          <w:color w:val="000000"/>
          <w:sz w:val="22"/>
        </w:rPr>
        <w:t>Općinsko vijeće Općine Ivanska, na svojoj 9. sjednici održanoj dana 11. kolovoza 2014.  donosi slijedeću:</w:t>
      </w:r>
    </w:p>
    <w:p w:rsidR="00786366" w:rsidRDefault="00786366" w:rsidP="00786366">
      <w:pPr>
        <w:jc w:val="both"/>
      </w:pPr>
    </w:p>
    <w:p w:rsidR="00786366" w:rsidRDefault="00786366" w:rsidP="00786366">
      <w:pPr>
        <w:jc w:val="both"/>
      </w:pPr>
    </w:p>
    <w:p w:rsidR="00786366" w:rsidRDefault="00786366" w:rsidP="00786366">
      <w:pPr>
        <w:jc w:val="center"/>
        <w:rPr>
          <w:b/>
        </w:rPr>
      </w:pPr>
      <w:r w:rsidRPr="00B8453B">
        <w:rPr>
          <w:b/>
        </w:rPr>
        <w:t>O D L U K U</w:t>
      </w:r>
    </w:p>
    <w:p w:rsidR="00786366" w:rsidRDefault="00786366" w:rsidP="00786366">
      <w:pPr>
        <w:jc w:val="center"/>
        <w:rPr>
          <w:b/>
        </w:rPr>
      </w:pPr>
      <w:r>
        <w:rPr>
          <w:b/>
        </w:rPr>
        <w:t xml:space="preserve">o davanju suglasnosti na Odluku o utvrđivanju visine grobnih naknada </w:t>
      </w:r>
    </w:p>
    <w:p w:rsidR="00786366" w:rsidRPr="00B8453B" w:rsidRDefault="00786366" w:rsidP="00786366">
      <w:pPr>
        <w:jc w:val="center"/>
        <w:rPr>
          <w:b/>
        </w:rPr>
      </w:pPr>
      <w:r>
        <w:rPr>
          <w:b/>
        </w:rPr>
        <w:t>na području općine Ivanska</w:t>
      </w:r>
    </w:p>
    <w:p w:rsidR="00786366" w:rsidRDefault="00786366" w:rsidP="00786366"/>
    <w:p w:rsidR="00786366" w:rsidRPr="00F576D5" w:rsidRDefault="00786366" w:rsidP="00786366">
      <w:pPr>
        <w:jc w:val="both"/>
        <w:rPr>
          <w:b/>
        </w:rPr>
      </w:pPr>
    </w:p>
    <w:p w:rsidR="00786366" w:rsidRPr="00F576D5" w:rsidRDefault="00786366" w:rsidP="00786366">
      <w:pPr>
        <w:jc w:val="center"/>
        <w:rPr>
          <w:b/>
        </w:rPr>
      </w:pPr>
      <w:r w:rsidRPr="00F576D5">
        <w:rPr>
          <w:b/>
        </w:rPr>
        <w:t>Članak 1.</w:t>
      </w:r>
    </w:p>
    <w:p w:rsidR="00786366" w:rsidRDefault="00786366" w:rsidP="00786366">
      <w:pPr>
        <w:jc w:val="both"/>
      </w:pPr>
      <w:r>
        <w:tab/>
        <w:t xml:space="preserve">Općinsko vijeće Općine Ivanska daje suglasnost na Odluku o utvrđivanju visine grobnih naknada na području općine Ivanska koju je donijela Uprava groblja poduzeće IVANKOM </w:t>
      </w:r>
      <w:proofErr w:type="spellStart"/>
      <w:r>
        <w:t>j.d.o.o</w:t>
      </w:r>
      <w:proofErr w:type="spellEnd"/>
      <w:r>
        <w:t>. Ivanska, 11. kolovoza 2014. godine a koja je prilog ove Odluke.</w:t>
      </w:r>
    </w:p>
    <w:p w:rsidR="00786366" w:rsidRDefault="00786366" w:rsidP="00786366">
      <w:pPr>
        <w:jc w:val="both"/>
      </w:pPr>
    </w:p>
    <w:p w:rsidR="00786366" w:rsidRPr="00F576D5" w:rsidRDefault="00786366" w:rsidP="00786366">
      <w:pPr>
        <w:jc w:val="center"/>
        <w:rPr>
          <w:b/>
        </w:rPr>
      </w:pPr>
      <w:r w:rsidRPr="00F576D5">
        <w:rPr>
          <w:b/>
        </w:rPr>
        <w:t>Članak 2</w:t>
      </w:r>
      <w:r>
        <w:rPr>
          <w:b/>
        </w:rPr>
        <w:t>.</w:t>
      </w:r>
    </w:p>
    <w:p w:rsidR="00786366" w:rsidRDefault="00786366" w:rsidP="00786366">
      <w:pPr>
        <w:jc w:val="both"/>
      </w:pPr>
      <w:r>
        <w:tab/>
        <w:t xml:space="preserve"> </w:t>
      </w:r>
    </w:p>
    <w:p w:rsidR="00786366" w:rsidRDefault="00786366" w:rsidP="00786366">
      <w:pPr>
        <w:jc w:val="both"/>
      </w:pPr>
      <w:r>
        <w:t>Ova Odluka stupa na snagu osmog dana od dana objave u Službenom vjesniku Općine Ivanska.</w:t>
      </w:r>
    </w:p>
    <w:p w:rsidR="00786366" w:rsidRDefault="00786366" w:rsidP="00786366">
      <w:pPr>
        <w:jc w:val="center"/>
      </w:pPr>
    </w:p>
    <w:p w:rsidR="00786366" w:rsidRDefault="00786366" w:rsidP="00786366">
      <w:pPr>
        <w:jc w:val="center"/>
      </w:pPr>
      <w:r>
        <w:t xml:space="preserve">BJELOVARSKO-BILOGORSKA ŽUPANIJA </w:t>
      </w:r>
    </w:p>
    <w:p w:rsidR="00786366" w:rsidRDefault="00786366" w:rsidP="00786366">
      <w:pPr>
        <w:jc w:val="center"/>
      </w:pPr>
      <w:r>
        <w:t xml:space="preserve">OPĆINA IVANSKA </w:t>
      </w:r>
    </w:p>
    <w:p w:rsidR="00786366" w:rsidRDefault="00786366" w:rsidP="00786366">
      <w:pPr>
        <w:jc w:val="center"/>
      </w:pPr>
      <w:r>
        <w:t xml:space="preserve">OPĆINSKO VIJEĆE </w:t>
      </w:r>
    </w:p>
    <w:p w:rsidR="00786366" w:rsidRDefault="00786366" w:rsidP="00786366">
      <w:pPr>
        <w:jc w:val="both"/>
      </w:pPr>
    </w:p>
    <w:p w:rsidR="00786366" w:rsidRDefault="00786366" w:rsidP="00786366">
      <w:pPr>
        <w:jc w:val="both"/>
      </w:pPr>
    </w:p>
    <w:p w:rsidR="00786366" w:rsidRDefault="00786366" w:rsidP="00786366">
      <w:pPr>
        <w:jc w:val="both"/>
      </w:pPr>
    </w:p>
    <w:p w:rsidR="00786366" w:rsidRDefault="00786366" w:rsidP="00786366">
      <w:pPr>
        <w:jc w:val="both"/>
      </w:pPr>
      <w:r>
        <w:t>Klasa:011-01/14-01/25</w:t>
      </w:r>
    </w:p>
    <w:p w:rsidR="00786366" w:rsidRDefault="00786366" w:rsidP="00786366">
      <w:pPr>
        <w:jc w:val="both"/>
      </w:pPr>
      <w:r>
        <w:t>Urbroj:2110/02-01-14-1</w:t>
      </w:r>
    </w:p>
    <w:p w:rsidR="00786366" w:rsidRDefault="00786366" w:rsidP="00786366">
      <w:pPr>
        <w:jc w:val="both"/>
      </w:pPr>
      <w:r>
        <w:t>Ivanska, 11. kolovoza 2014.</w:t>
      </w:r>
    </w:p>
    <w:p w:rsidR="00786366" w:rsidRDefault="00786366" w:rsidP="00786366">
      <w:pPr>
        <w:jc w:val="center"/>
      </w:pPr>
      <w:r>
        <w:t xml:space="preserve">                                                                                                                    PREDSJEDNICA:</w:t>
      </w:r>
    </w:p>
    <w:p w:rsidR="00786366" w:rsidRDefault="00786366" w:rsidP="00786366">
      <w:pPr>
        <w:jc w:val="center"/>
      </w:pPr>
      <w:r>
        <w:t xml:space="preserve">                                                                                                                     Ivana </w:t>
      </w:r>
      <w:proofErr w:type="spellStart"/>
      <w:r>
        <w:t>Peršić</w:t>
      </w:r>
      <w:proofErr w:type="spellEnd"/>
      <w:r>
        <w:t>, v.r.</w:t>
      </w:r>
    </w:p>
    <w:p w:rsidR="00786366" w:rsidRDefault="00786366" w:rsidP="00786366">
      <w:pPr>
        <w:spacing w:after="60"/>
        <w:jc w:val="both"/>
      </w:pPr>
    </w:p>
    <w:p w:rsidR="00786366" w:rsidRDefault="00786366" w:rsidP="00786366">
      <w:pPr>
        <w:spacing w:after="60"/>
        <w:jc w:val="both"/>
      </w:pPr>
    </w:p>
    <w:p w:rsidR="00786366" w:rsidRPr="006B4B25" w:rsidRDefault="00786366" w:rsidP="00786366">
      <w:pPr>
        <w:spacing w:after="60"/>
        <w:jc w:val="both"/>
      </w:pPr>
      <w:r w:rsidRPr="00467DEC">
        <w:t xml:space="preserve">Uprava groblja poduzeća IVANKOM </w:t>
      </w:r>
      <w:proofErr w:type="spellStart"/>
      <w:r w:rsidRPr="00467DEC">
        <w:t>j.d.o.o</w:t>
      </w:r>
      <w:proofErr w:type="spellEnd"/>
      <w:r w:rsidRPr="00467DEC">
        <w:t xml:space="preserve">. iz </w:t>
      </w:r>
      <w:proofErr w:type="spellStart"/>
      <w:r w:rsidRPr="00467DEC">
        <w:t>Ivanske</w:t>
      </w:r>
      <w:proofErr w:type="spellEnd"/>
      <w:r w:rsidRPr="00467DEC">
        <w:t>, Slavka Kolara 1, na temelju članka 13. stavka 4. Zakona o grobljima („Narodne Novine“, broj 19/98, 50/12 ) i Odluke o imenovanju Uprave groblja na području općine Ivanska, donosi:</w:t>
      </w:r>
    </w:p>
    <w:p w:rsidR="00786366" w:rsidRDefault="00786366" w:rsidP="00786366">
      <w:pPr>
        <w:spacing w:after="60"/>
        <w:jc w:val="center"/>
        <w:rPr>
          <w:b/>
        </w:rPr>
      </w:pPr>
    </w:p>
    <w:p w:rsidR="00786366" w:rsidRPr="00467DEC" w:rsidRDefault="00786366" w:rsidP="00786366">
      <w:pPr>
        <w:spacing w:after="60"/>
        <w:jc w:val="center"/>
        <w:rPr>
          <w:b/>
        </w:rPr>
      </w:pPr>
      <w:r w:rsidRPr="00467DEC">
        <w:rPr>
          <w:b/>
        </w:rPr>
        <w:t xml:space="preserve">O D L U K U </w:t>
      </w:r>
    </w:p>
    <w:p w:rsidR="00786366" w:rsidRDefault="00786366" w:rsidP="00786366">
      <w:pPr>
        <w:spacing w:after="60"/>
        <w:jc w:val="center"/>
        <w:rPr>
          <w:b/>
        </w:rPr>
      </w:pPr>
      <w:r w:rsidRPr="00467DEC">
        <w:rPr>
          <w:b/>
        </w:rPr>
        <w:t xml:space="preserve">o utvrđivanju visine grobnih naknada </w:t>
      </w:r>
    </w:p>
    <w:p w:rsidR="00786366" w:rsidRDefault="00786366" w:rsidP="00786366">
      <w:pPr>
        <w:spacing w:after="60"/>
        <w:jc w:val="center"/>
        <w:rPr>
          <w:b/>
        </w:rPr>
      </w:pPr>
      <w:r w:rsidRPr="00467DEC">
        <w:rPr>
          <w:b/>
        </w:rPr>
        <w:t>na području općine Ivanska</w:t>
      </w:r>
    </w:p>
    <w:p w:rsidR="00786366" w:rsidRPr="006B4B25" w:rsidRDefault="00786366" w:rsidP="00786366">
      <w:pPr>
        <w:spacing w:after="60"/>
        <w:jc w:val="center"/>
        <w:rPr>
          <w:b/>
        </w:rPr>
      </w:pPr>
    </w:p>
    <w:p w:rsidR="00786366" w:rsidRPr="00467DEC" w:rsidRDefault="00786366" w:rsidP="00786366">
      <w:pPr>
        <w:spacing w:after="60"/>
        <w:jc w:val="center"/>
      </w:pPr>
      <w:r w:rsidRPr="00467DEC">
        <w:t>Članak 1.</w:t>
      </w:r>
    </w:p>
    <w:p w:rsidR="00786366" w:rsidRPr="00467DEC" w:rsidRDefault="00786366" w:rsidP="00786366">
      <w:pPr>
        <w:spacing w:after="60"/>
      </w:pPr>
      <w:r w:rsidRPr="00467DEC">
        <w:t>Ovom odlukom utvrđuje se za groblja na području općine Ivanska:</w:t>
      </w:r>
    </w:p>
    <w:p w:rsidR="00786366" w:rsidRPr="00467DEC" w:rsidRDefault="00786366" w:rsidP="00786366">
      <w:pPr>
        <w:pStyle w:val="Odlomakpopisa"/>
        <w:numPr>
          <w:ilvl w:val="0"/>
          <w:numId w:val="1"/>
        </w:numPr>
        <w:spacing w:after="60" w:line="276" w:lineRule="auto"/>
        <w:contextualSpacing/>
      </w:pPr>
      <w:r w:rsidRPr="00467DEC">
        <w:t>visina godišnje grobne naknade</w:t>
      </w:r>
    </w:p>
    <w:p w:rsidR="00786366" w:rsidRDefault="00786366" w:rsidP="00786366">
      <w:pPr>
        <w:pStyle w:val="Odlomakpopisa"/>
        <w:numPr>
          <w:ilvl w:val="0"/>
          <w:numId w:val="1"/>
        </w:numPr>
        <w:spacing w:after="60" w:line="276" w:lineRule="auto"/>
        <w:contextualSpacing/>
      </w:pPr>
      <w:r w:rsidRPr="00467DEC">
        <w:t>visina jednokratne naknade za dodjelu grobnog mjesta na korištenje</w:t>
      </w:r>
    </w:p>
    <w:p w:rsidR="00786366" w:rsidRDefault="00786366" w:rsidP="00786366">
      <w:pPr>
        <w:pStyle w:val="Odlomakpopisa"/>
        <w:spacing w:after="60" w:line="276" w:lineRule="auto"/>
        <w:ind w:left="720"/>
        <w:contextualSpacing/>
      </w:pPr>
    </w:p>
    <w:p w:rsidR="00EA0236" w:rsidRDefault="00EA0236" w:rsidP="00786366">
      <w:pPr>
        <w:pStyle w:val="Odlomakpopisa"/>
        <w:spacing w:after="60" w:line="276" w:lineRule="auto"/>
        <w:ind w:left="720"/>
        <w:contextualSpacing/>
      </w:pPr>
    </w:p>
    <w:p w:rsidR="00EA0236" w:rsidRPr="00467DEC" w:rsidRDefault="00EA0236" w:rsidP="00786366">
      <w:pPr>
        <w:pStyle w:val="Odlomakpopisa"/>
        <w:spacing w:after="60" w:line="276" w:lineRule="auto"/>
        <w:ind w:left="720"/>
        <w:contextualSpacing/>
      </w:pPr>
    </w:p>
    <w:p w:rsidR="00786366" w:rsidRPr="00467DEC" w:rsidRDefault="00786366" w:rsidP="00786366">
      <w:pPr>
        <w:spacing w:after="60"/>
        <w:jc w:val="center"/>
      </w:pPr>
      <w:r w:rsidRPr="00467DEC">
        <w:lastRenderedPageBreak/>
        <w:t>Članak 2.</w:t>
      </w:r>
    </w:p>
    <w:p w:rsidR="00786366" w:rsidRPr="00467DEC" w:rsidRDefault="00786366" w:rsidP="00786366">
      <w:pPr>
        <w:spacing w:after="60"/>
      </w:pPr>
      <w:r w:rsidRPr="00467DEC">
        <w:t xml:space="preserve">Naknade iz članka 1. ove Odluke uplaćuju se na žiro račun poduzeća IVANKOM </w:t>
      </w:r>
      <w:proofErr w:type="spellStart"/>
      <w:r w:rsidRPr="00467DEC">
        <w:t>j.d.o.o</w:t>
      </w:r>
      <w:proofErr w:type="spellEnd"/>
      <w:r w:rsidRPr="00467DEC">
        <w:t xml:space="preserve">. iz </w:t>
      </w:r>
      <w:proofErr w:type="spellStart"/>
      <w:r w:rsidRPr="00467DEC">
        <w:t>Ivanske</w:t>
      </w:r>
      <w:proofErr w:type="spellEnd"/>
      <w:r w:rsidRPr="00467DEC">
        <w:t>, Slavka Kolara 1, IBAN broj HR58 23400091110625808 prema ispostavljenom računu.</w:t>
      </w:r>
    </w:p>
    <w:p w:rsidR="00786366" w:rsidRPr="00F20193" w:rsidRDefault="00786366" w:rsidP="00786366">
      <w:pPr>
        <w:spacing w:after="60"/>
        <w:rPr>
          <w:sz w:val="20"/>
          <w:szCs w:val="20"/>
        </w:rPr>
      </w:pPr>
    </w:p>
    <w:p w:rsidR="00786366" w:rsidRPr="006B4B25" w:rsidRDefault="00786366" w:rsidP="00786366">
      <w:pPr>
        <w:pStyle w:val="Odlomakpopisa"/>
        <w:numPr>
          <w:ilvl w:val="0"/>
          <w:numId w:val="2"/>
        </w:numPr>
        <w:spacing w:after="60" w:line="276" w:lineRule="auto"/>
        <w:contextualSpacing/>
        <w:rPr>
          <w:b/>
        </w:rPr>
      </w:pPr>
      <w:r w:rsidRPr="006B4B25">
        <w:rPr>
          <w:b/>
        </w:rPr>
        <w:t>VISINA GODIŠNJE GROBNE NAKNADE</w:t>
      </w:r>
    </w:p>
    <w:p w:rsidR="00786366" w:rsidRPr="00F20193" w:rsidRDefault="00786366" w:rsidP="00786366">
      <w:pPr>
        <w:pStyle w:val="Odlomakpopisa"/>
        <w:spacing w:after="60"/>
        <w:rPr>
          <w:b/>
          <w:sz w:val="20"/>
          <w:szCs w:val="20"/>
        </w:rPr>
      </w:pPr>
    </w:p>
    <w:p w:rsidR="00786366" w:rsidRPr="006B4B25" w:rsidRDefault="00786366" w:rsidP="00786366">
      <w:pPr>
        <w:spacing w:after="60"/>
        <w:jc w:val="center"/>
      </w:pPr>
      <w:r w:rsidRPr="006B4B25">
        <w:t>Članak 3.</w:t>
      </w:r>
    </w:p>
    <w:p w:rsidR="00786366" w:rsidRPr="006B4B25" w:rsidRDefault="00786366" w:rsidP="00786366">
      <w:pPr>
        <w:spacing w:after="60"/>
      </w:pPr>
      <w:r w:rsidRPr="006B4B25">
        <w:t>Za korištenje grobnog mjesta i grobnice korisnici plaćaju godišnju naknadu: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
        <w:gridCol w:w="3073"/>
        <w:gridCol w:w="1818"/>
        <w:gridCol w:w="1818"/>
        <w:gridCol w:w="1826"/>
      </w:tblGrid>
      <w:tr w:rsidR="00786366" w:rsidTr="00901123">
        <w:trPr>
          <w:gridBefore w:val="2"/>
          <w:trHeight w:val="245"/>
        </w:trPr>
        <w:tc>
          <w:tcPr>
            <w:tcW w:w="5574" w:type="dxa"/>
            <w:gridSpan w:val="3"/>
          </w:tcPr>
          <w:p w:rsidR="00786366" w:rsidRPr="00467DEC" w:rsidRDefault="00786366" w:rsidP="00901123">
            <w:pPr>
              <w:tabs>
                <w:tab w:val="center" w:pos="4536"/>
                <w:tab w:val="right" w:pos="9072"/>
              </w:tabs>
              <w:spacing w:after="60"/>
              <w:jc w:val="center"/>
              <w:rPr>
                <w:b/>
              </w:rPr>
            </w:pPr>
            <w:r w:rsidRPr="00467DEC">
              <w:rPr>
                <w:b/>
              </w:rPr>
              <w:t>RAZRED</w:t>
            </w:r>
          </w:p>
        </w:tc>
      </w:tr>
      <w:tr w:rsidR="00786366" w:rsidTr="00901123">
        <w:tblPrEx>
          <w:tblLook w:val="04A0" w:firstRow="1" w:lastRow="0" w:firstColumn="1" w:lastColumn="0" w:noHBand="0" w:noVBand="1"/>
        </w:tblPrEx>
        <w:tc>
          <w:tcPr>
            <w:tcW w:w="534" w:type="dxa"/>
          </w:tcPr>
          <w:p w:rsidR="00786366" w:rsidRDefault="00786366" w:rsidP="00901123">
            <w:pPr>
              <w:tabs>
                <w:tab w:val="center" w:pos="4536"/>
                <w:tab w:val="right" w:pos="9072"/>
              </w:tabs>
              <w:spacing w:after="60"/>
            </w:pPr>
          </w:p>
        </w:tc>
        <w:tc>
          <w:tcPr>
            <w:tcW w:w="3180" w:type="dxa"/>
          </w:tcPr>
          <w:p w:rsidR="00786366" w:rsidRDefault="00786366" w:rsidP="00901123">
            <w:pPr>
              <w:tabs>
                <w:tab w:val="center" w:pos="4536"/>
                <w:tab w:val="right" w:pos="9072"/>
              </w:tabs>
              <w:spacing w:after="60"/>
              <w:jc w:val="center"/>
            </w:pPr>
            <w:r>
              <w:t>ukopna mjesta (razred)</w:t>
            </w:r>
          </w:p>
        </w:tc>
        <w:tc>
          <w:tcPr>
            <w:tcW w:w="1858" w:type="dxa"/>
          </w:tcPr>
          <w:p w:rsidR="00786366" w:rsidRPr="00467DEC" w:rsidRDefault="00786366" w:rsidP="00901123">
            <w:pPr>
              <w:tabs>
                <w:tab w:val="center" w:pos="4536"/>
                <w:tab w:val="right" w:pos="9072"/>
              </w:tabs>
              <w:spacing w:after="60"/>
              <w:jc w:val="center"/>
              <w:rPr>
                <w:b/>
              </w:rPr>
            </w:pPr>
            <w:r w:rsidRPr="00467DEC">
              <w:rPr>
                <w:b/>
              </w:rPr>
              <w:t>1. - groblje:</w:t>
            </w:r>
          </w:p>
          <w:p w:rsidR="00786366" w:rsidRDefault="00786366" w:rsidP="00901123">
            <w:pPr>
              <w:tabs>
                <w:tab w:val="center" w:pos="4536"/>
                <w:tab w:val="right" w:pos="9072"/>
              </w:tabs>
              <w:spacing w:after="60"/>
              <w:jc w:val="center"/>
            </w:pPr>
          </w:p>
          <w:p w:rsidR="00786366" w:rsidRDefault="00786366" w:rsidP="00901123">
            <w:pPr>
              <w:tabs>
                <w:tab w:val="center" w:pos="4536"/>
                <w:tab w:val="right" w:pos="9072"/>
              </w:tabs>
              <w:spacing w:after="60"/>
              <w:jc w:val="center"/>
            </w:pPr>
            <w:r>
              <w:t>Ivanska</w:t>
            </w:r>
          </w:p>
        </w:tc>
        <w:tc>
          <w:tcPr>
            <w:tcW w:w="1858" w:type="dxa"/>
          </w:tcPr>
          <w:p w:rsidR="00786366" w:rsidRPr="00467DEC" w:rsidRDefault="00786366" w:rsidP="00901123">
            <w:pPr>
              <w:tabs>
                <w:tab w:val="center" w:pos="4536"/>
                <w:tab w:val="right" w:pos="9072"/>
              </w:tabs>
              <w:spacing w:after="60"/>
              <w:jc w:val="center"/>
              <w:rPr>
                <w:b/>
              </w:rPr>
            </w:pPr>
            <w:r w:rsidRPr="00467DEC">
              <w:rPr>
                <w:b/>
              </w:rPr>
              <w:t>2. - groblje:</w:t>
            </w:r>
          </w:p>
          <w:p w:rsidR="00786366" w:rsidRDefault="00786366" w:rsidP="00901123">
            <w:pPr>
              <w:tabs>
                <w:tab w:val="center" w:pos="4536"/>
                <w:tab w:val="right" w:pos="9072"/>
              </w:tabs>
              <w:spacing w:after="60"/>
              <w:jc w:val="center"/>
            </w:pPr>
          </w:p>
          <w:p w:rsidR="00786366" w:rsidRDefault="00786366" w:rsidP="00901123">
            <w:pPr>
              <w:tabs>
                <w:tab w:val="center" w:pos="4536"/>
                <w:tab w:val="right" w:pos="9072"/>
              </w:tabs>
              <w:spacing w:after="60"/>
              <w:jc w:val="center"/>
            </w:pPr>
            <w:r>
              <w:t xml:space="preserve">Stara </w:t>
            </w:r>
            <w:proofErr w:type="spellStart"/>
            <w:r>
              <w:t>Plošćica</w:t>
            </w:r>
            <w:proofErr w:type="spellEnd"/>
          </w:p>
        </w:tc>
        <w:tc>
          <w:tcPr>
            <w:tcW w:w="1858" w:type="dxa"/>
          </w:tcPr>
          <w:p w:rsidR="00786366" w:rsidRPr="00467DEC" w:rsidRDefault="00786366" w:rsidP="00901123">
            <w:pPr>
              <w:tabs>
                <w:tab w:val="center" w:pos="4536"/>
                <w:tab w:val="right" w:pos="9072"/>
              </w:tabs>
              <w:spacing w:after="60"/>
              <w:jc w:val="center"/>
              <w:rPr>
                <w:sz w:val="18"/>
                <w:szCs w:val="18"/>
              </w:rPr>
            </w:pPr>
            <w:r w:rsidRPr="00467DEC">
              <w:rPr>
                <w:b/>
              </w:rPr>
              <w:t>3. - groblja:</w:t>
            </w:r>
            <w:r w:rsidRPr="00467DEC">
              <w:rPr>
                <w:sz w:val="18"/>
                <w:szCs w:val="18"/>
              </w:rPr>
              <w:t xml:space="preserve"> Paljevine, K. Selo (katoličko i pravoslavno), </w:t>
            </w:r>
            <w:proofErr w:type="spellStart"/>
            <w:r w:rsidRPr="00467DEC">
              <w:rPr>
                <w:sz w:val="18"/>
                <w:szCs w:val="18"/>
              </w:rPr>
              <w:t>Križic</w:t>
            </w:r>
            <w:proofErr w:type="spellEnd"/>
            <w:r w:rsidRPr="00467DEC">
              <w:rPr>
                <w:sz w:val="18"/>
                <w:szCs w:val="18"/>
              </w:rPr>
              <w:t xml:space="preserve">, Samarica, </w:t>
            </w:r>
            <w:proofErr w:type="spellStart"/>
            <w:r w:rsidRPr="00467DEC">
              <w:rPr>
                <w:sz w:val="18"/>
                <w:szCs w:val="18"/>
              </w:rPr>
              <w:t>Đurđic</w:t>
            </w:r>
            <w:proofErr w:type="spellEnd"/>
            <w:r w:rsidRPr="00467DEC">
              <w:rPr>
                <w:sz w:val="18"/>
                <w:szCs w:val="18"/>
              </w:rPr>
              <w:t xml:space="preserve">, D. </w:t>
            </w:r>
            <w:proofErr w:type="spellStart"/>
            <w:r w:rsidRPr="00467DEC">
              <w:rPr>
                <w:sz w:val="18"/>
                <w:szCs w:val="18"/>
              </w:rPr>
              <w:t>Petrička</w:t>
            </w:r>
            <w:proofErr w:type="spellEnd"/>
            <w:r w:rsidRPr="00467DEC">
              <w:rPr>
                <w:sz w:val="18"/>
                <w:szCs w:val="18"/>
              </w:rPr>
              <w:t xml:space="preserve">, </w:t>
            </w:r>
            <w:proofErr w:type="spellStart"/>
            <w:r w:rsidRPr="00467DEC">
              <w:rPr>
                <w:sz w:val="18"/>
                <w:szCs w:val="18"/>
              </w:rPr>
              <w:t>Babinac</w:t>
            </w:r>
            <w:proofErr w:type="spellEnd"/>
            <w:r w:rsidRPr="00467DEC">
              <w:rPr>
                <w:sz w:val="18"/>
                <w:szCs w:val="18"/>
              </w:rPr>
              <w:t xml:space="preserve">, </w:t>
            </w:r>
            <w:proofErr w:type="spellStart"/>
            <w:r w:rsidRPr="00467DEC">
              <w:rPr>
                <w:sz w:val="18"/>
                <w:szCs w:val="18"/>
              </w:rPr>
              <w:t>Srijedska</w:t>
            </w:r>
            <w:proofErr w:type="spellEnd"/>
            <w:r w:rsidRPr="00467DEC">
              <w:rPr>
                <w:sz w:val="18"/>
                <w:szCs w:val="18"/>
              </w:rPr>
              <w:t xml:space="preserve">, G. </w:t>
            </w:r>
            <w:proofErr w:type="spellStart"/>
            <w:r w:rsidRPr="00467DEC">
              <w:rPr>
                <w:sz w:val="18"/>
                <w:szCs w:val="18"/>
              </w:rPr>
              <w:t>Petrička</w:t>
            </w:r>
            <w:proofErr w:type="spellEnd"/>
          </w:p>
        </w:tc>
      </w:tr>
      <w:tr w:rsidR="00786366" w:rsidTr="00901123">
        <w:tblPrEx>
          <w:tblLook w:val="04A0" w:firstRow="1" w:lastRow="0" w:firstColumn="1" w:lastColumn="0" w:noHBand="0" w:noVBand="1"/>
        </w:tblPrEx>
        <w:tc>
          <w:tcPr>
            <w:tcW w:w="534" w:type="dxa"/>
          </w:tcPr>
          <w:p w:rsidR="00786366" w:rsidRDefault="00786366" w:rsidP="00901123">
            <w:pPr>
              <w:tabs>
                <w:tab w:val="center" w:pos="4536"/>
                <w:tab w:val="right" w:pos="9072"/>
              </w:tabs>
              <w:spacing w:after="60"/>
            </w:pPr>
            <w:r>
              <w:t>1.</w:t>
            </w:r>
          </w:p>
        </w:tc>
        <w:tc>
          <w:tcPr>
            <w:tcW w:w="3180" w:type="dxa"/>
          </w:tcPr>
          <w:p w:rsidR="00786366" w:rsidRDefault="00786366" w:rsidP="00901123">
            <w:pPr>
              <w:tabs>
                <w:tab w:val="center" w:pos="4536"/>
                <w:tab w:val="right" w:pos="9072"/>
              </w:tabs>
              <w:spacing w:after="60"/>
            </w:pPr>
            <w:r>
              <w:t>jedno grobno mjesto</w:t>
            </w:r>
          </w:p>
        </w:tc>
        <w:tc>
          <w:tcPr>
            <w:tcW w:w="1858" w:type="dxa"/>
          </w:tcPr>
          <w:p w:rsidR="00786366" w:rsidRDefault="00786366" w:rsidP="00901123">
            <w:pPr>
              <w:tabs>
                <w:tab w:val="center" w:pos="4536"/>
                <w:tab w:val="right" w:pos="9072"/>
              </w:tabs>
              <w:spacing w:after="60"/>
              <w:jc w:val="center"/>
            </w:pPr>
            <w:r>
              <w:t>80,00 kn</w:t>
            </w:r>
          </w:p>
        </w:tc>
        <w:tc>
          <w:tcPr>
            <w:tcW w:w="1858" w:type="dxa"/>
          </w:tcPr>
          <w:p w:rsidR="00786366" w:rsidRDefault="00786366" w:rsidP="00901123">
            <w:pPr>
              <w:tabs>
                <w:tab w:val="center" w:pos="4536"/>
                <w:tab w:val="right" w:pos="9072"/>
              </w:tabs>
              <w:spacing w:after="60"/>
              <w:jc w:val="center"/>
            </w:pPr>
            <w:r>
              <w:t>60,00 kn</w:t>
            </w:r>
          </w:p>
        </w:tc>
        <w:tc>
          <w:tcPr>
            <w:tcW w:w="1858" w:type="dxa"/>
          </w:tcPr>
          <w:p w:rsidR="00786366" w:rsidRDefault="00786366" w:rsidP="00901123">
            <w:pPr>
              <w:tabs>
                <w:tab w:val="center" w:pos="4536"/>
                <w:tab w:val="right" w:pos="9072"/>
              </w:tabs>
              <w:spacing w:after="60"/>
              <w:jc w:val="center"/>
            </w:pPr>
            <w:r>
              <w:t>50,00 kn</w:t>
            </w:r>
          </w:p>
        </w:tc>
      </w:tr>
      <w:tr w:rsidR="00786366" w:rsidTr="00901123">
        <w:tblPrEx>
          <w:tblLook w:val="04A0" w:firstRow="1" w:lastRow="0" w:firstColumn="1" w:lastColumn="0" w:noHBand="0" w:noVBand="1"/>
        </w:tblPrEx>
        <w:tc>
          <w:tcPr>
            <w:tcW w:w="534" w:type="dxa"/>
          </w:tcPr>
          <w:p w:rsidR="00786366" w:rsidRDefault="00786366" w:rsidP="00901123">
            <w:pPr>
              <w:tabs>
                <w:tab w:val="center" w:pos="4536"/>
                <w:tab w:val="right" w:pos="9072"/>
              </w:tabs>
              <w:spacing w:after="60"/>
            </w:pPr>
            <w:r>
              <w:t>2.</w:t>
            </w:r>
          </w:p>
        </w:tc>
        <w:tc>
          <w:tcPr>
            <w:tcW w:w="3180" w:type="dxa"/>
          </w:tcPr>
          <w:p w:rsidR="00786366" w:rsidRDefault="00786366" w:rsidP="00901123">
            <w:pPr>
              <w:tabs>
                <w:tab w:val="center" w:pos="4536"/>
                <w:tab w:val="right" w:pos="9072"/>
              </w:tabs>
              <w:spacing w:after="60"/>
            </w:pPr>
            <w:r>
              <w:t>dva grobna mjesta</w:t>
            </w:r>
          </w:p>
        </w:tc>
        <w:tc>
          <w:tcPr>
            <w:tcW w:w="1858" w:type="dxa"/>
          </w:tcPr>
          <w:p w:rsidR="00786366" w:rsidRDefault="00786366" w:rsidP="00901123">
            <w:pPr>
              <w:tabs>
                <w:tab w:val="center" w:pos="4536"/>
                <w:tab w:val="right" w:pos="9072"/>
              </w:tabs>
              <w:spacing w:after="60"/>
              <w:jc w:val="center"/>
            </w:pPr>
            <w:r>
              <w:t>150,00 kn</w:t>
            </w:r>
          </w:p>
        </w:tc>
        <w:tc>
          <w:tcPr>
            <w:tcW w:w="1858" w:type="dxa"/>
          </w:tcPr>
          <w:p w:rsidR="00786366" w:rsidRDefault="00786366" w:rsidP="00901123">
            <w:pPr>
              <w:tabs>
                <w:tab w:val="center" w:pos="4536"/>
                <w:tab w:val="right" w:pos="9072"/>
              </w:tabs>
              <w:spacing w:after="60"/>
              <w:jc w:val="center"/>
            </w:pPr>
            <w:r>
              <w:t>100,00 kn</w:t>
            </w:r>
          </w:p>
        </w:tc>
        <w:tc>
          <w:tcPr>
            <w:tcW w:w="1858" w:type="dxa"/>
          </w:tcPr>
          <w:p w:rsidR="00786366" w:rsidRDefault="00786366" w:rsidP="00901123">
            <w:pPr>
              <w:tabs>
                <w:tab w:val="center" w:pos="4536"/>
                <w:tab w:val="right" w:pos="9072"/>
              </w:tabs>
              <w:spacing w:after="60"/>
              <w:jc w:val="center"/>
            </w:pPr>
            <w:r>
              <w:t>90,00 kn</w:t>
            </w:r>
          </w:p>
        </w:tc>
      </w:tr>
      <w:tr w:rsidR="00786366" w:rsidTr="00901123">
        <w:tblPrEx>
          <w:tblLook w:val="04A0" w:firstRow="1" w:lastRow="0" w:firstColumn="1" w:lastColumn="0" w:noHBand="0" w:noVBand="1"/>
        </w:tblPrEx>
        <w:tc>
          <w:tcPr>
            <w:tcW w:w="534" w:type="dxa"/>
          </w:tcPr>
          <w:p w:rsidR="00786366" w:rsidRDefault="00786366" w:rsidP="00901123">
            <w:pPr>
              <w:tabs>
                <w:tab w:val="center" w:pos="4536"/>
                <w:tab w:val="right" w:pos="9072"/>
              </w:tabs>
              <w:spacing w:after="60"/>
            </w:pPr>
            <w:r>
              <w:t>3.</w:t>
            </w:r>
          </w:p>
        </w:tc>
        <w:tc>
          <w:tcPr>
            <w:tcW w:w="3180" w:type="dxa"/>
          </w:tcPr>
          <w:p w:rsidR="00786366" w:rsidRDefault="00786366" w:rsidP="00901123">
            <w:pPr>
              <w:tabs>
                <w:tab w:val="center" w:pos="4536"/>
                <w:tab w:val="right" w:pos="9072"/>
              </w:tabs>
              <w:spacing w:after="60"/>
            </w:pPr>
            <w:r>
              <w:t>tri grobna mjesta</w:t>
            </w:r>
          </w:p>
        </w:tc>
        <w:tc>
          <w:tcPr>
            <w:tcW w:w="1858" w:type="dxa"/>
          </w:tcPr>
          <w:p w:rsidR="00786366" w:rsidRDefault="00786366" w:rsidP="00901123">
            <w:pPr>
              <w:tabs>
                <w:tab w:val="center" w:pos="4536"/>
                <w:tab w:val="right" w:pos="9072"/>
              </w:tabs>
              <w:spacing w:after="60"/>
              <w:jc w:val="center"/>
            </w:pPr>
            <w:r>
              <w:t>220,00 kn</w:t>
            </w:r>
          </w:p>
        </w:tc>
        <w:tc>
          <w:tcPr>
            <w:tcW w:w="1858" w:type="dxa"/>
          </w:tcPr>
          <w:p w:rsidR="00786366" w:rsidRDefault="00786366" w:rsidP="00901123">
            <w:pPr>
              <w:tabs>
                <w:tab w:val="center" w:pos="4536"/>
                <w:tab w:val="right" w:pos="9072"/>
              </w:tabs>
              <w:spacing w:after="60"/>
              <w:jc w:val="center"/>
            </w:pPr>
            <w:r>
              <w:t>150,00 kn</w:t>
            </w:r>
          </w:p>
        </w:tc>
        <w:tc>
          <w:tcPr>
            <w:tcW w:w="1858" w:type="dxa"/>
          </w:tcPr>
          <w:p w:rsidR="00786366" w:rsidRDefault="00786366" w:rsidP="00901123">
            <w:pPr>
              <w:tabs>
                <w:tab w:val="center" w:pos="4536"/>
                <w:tab w:val="right" w:pos="9072"/>
              </w:tabs>
              <w:spacing w:after="60"/>
              <w:jc w:val="center"/>
            </w:pPr>
            <w:r>
              <w:t>120,00 kn</w:t>
            </w:r>
          </w:p>
        </w:tc>
      </w:tr>
      <w:tr w:rsidR="00786366" w:rsidTr="00901123">
        <w:tblPrEx>
          <w:tblLook w:val="04A0" w:firstRow="1" w:lastRow="0" w:firstColumn="1" w:lastColumn="0" w:noHBand="0" w:noVBand="1"/>
        </w:tblPrEx>
        <w:tc>
          <w:tcPr>
            <w:tcW w:w="534" w:type="dxa"/>
          </w:tcPr>
          <w:p w:rsidR="00786366" w:rsidRDefault="00786366" w:rsidP="00901123">
            <w:pPr>
              <w:tabs>
                <w:tab w:val="center" w:pos="4536"/>
                <w:tab w:val="right" w:pos="9072"/>
              </w:tabs>
              <w:spacing w:after="60"/>
            </w:pPr>
            <w:r>
              <w:t>4.</w:t>
            </w:r>
          </w:p>
        </w:tc>
        <w:tc>
          <w:tcPr>
            <w:tcW w:w="3180" w:type="dxa"/>
          </w:tcPr>
          <w:p w:rsidR="00786366" w:rsidRDefault="00786366" w:rsidP="00901123">
            <w:pPr>
              <w:tabs>
                <w:tab w:val="center" w:pos="4536"/>
                <w:tab w:val="right" w:pos="9072"/>
              </w:tabs>
              <w:spacing w:after="60"/>
            </w:pPr>
            <w:r>
              <w:t>četiri i više grobnih mjesta</w:t>
            </w:r>
          </w:p>
        </w:tc>
        <w:tc>
          <w:tcPr>
            <w:tcW w:w="5574" w:type="dxa"/>
            <w:gridSpan w:val="3"/>
          </w:tcPr>
          <w:p w:rsidR="00786366" w:rsidRDefault="00786366" w:rsidP="00901123">
            <w:pPr>
              <w:tabs>
                <w:tab w:val="center" w:pos="4536"/>
                <w:tab w:val="right" w:pos="9072"/>
              </w:tabs>
              <w:spacing w:after="60"/>
              <w:jc w:val="center"/>
            </w:pPr>
            <w:r>
              <w:t>za 4., i svako sljedeće grobno mjesto</w:t>
            </w:r>
          </w:p>
          <w:p w:rsidR="00786366" w:rsidRDefault="00786366" w:rsidP="00901123">
            <w:pPr>
              <w:tabs>
                <w:tab w:val="center" w:pos="4536"/>
                <w:tab w:val="right" w:pos="9072"/>
              </w:tabs>
              <w:spacing w:after="60"/>
              <w:jc w:val="center"/>
            </w:pPr>
            <w:r>
              <w:t>NE NAPLAĆUJE SE GROBNA NAKNADA</w:t>
            </w:r>
          </w:p>
        </w:tc>
      </w:tr>
    </w:tbl>
    <w:p w:rsidR="00786366" w:rsidRDefault="00786366" w:rsidP="00786366">
      <w:pPr>
        <w:spacing w:after="60"/>
      </w:pPr>
      <w:r>
        <w:t xml:space="preserve">tablica1. </w:t>
      </w:r>
    </w:p>
    <w:p w:rsidR="00786366" w:rsidRDefault="00786366" w:rsidP="00786366">
      <w:pPr>
        <w:spacing w:after="60"/>
        <w:jc w:val="center"/>
      </w:pPr>
      <w:r>
        <w:t>Članak 4.</w:t>
      </w:r>
    </w:p>
    <w:p w:rsidR="00786366" w:rsidRDefault="00786366" w:rsidP="00786366">
      <w:pPr>
        <w:spacing w:after="60"/>
      </w:pPr>
      <w:r>
        <w:t>Zakonska mjera za veličinu jednog grobnog mjesta je 3 m² (1,2m x 2,5m).</w:t>
      </w:r>
    </w:p>
    <w:p w:rsidR="00786366" w:rsidRDefault="00786366" w:rsidP="00786366">
      <w:pPr>
        <w:spacing w:after="60"/>
      </w:pPr>
      <w:r>
        <w:t>U slučaju da grobno mjesto prelazi zakonske okvire ( veće je ili manje ), grobna naknada obračunava se po kvadratnom metru. Za groblje razreda 1. –  1 m² iznosit će 26,66 kn, razred 2. –  1m² iznosit će 20,00 kn, a razred 3. –  1m² iznosit će 16,66 kn.</w:t>
      </w:r>
    </w:p>
    <w:p w:rsidR="00786366" w:rsidRDefault="00786366" w:rsidP="00786366">
      <w:pPr>
        <w:spacing w:after="60"/>
        <w:jc w:val="center"/>
      </w:pPr>
      <w:r>
        <w:t>Članak 5.</w:t>
      </w:r>
    </w:p>
    <w:p w:rsidR="00786366" w:rsidRDefault="00786366" w:rsidP="00786366">
      <w:pPr>
        <w:spacing w:after="60"/>
      </w:pPr>
      <w:r>
        <w:t>Kategorizacija groblja na području općine Ivanska izvršena je u tri razreda što je vidljivo u Tablici 1., pri čemu je uzeto u obzir izgrađenost infrastrukture, prilaz grobljima i uređenost groblja.</w:t>
      </w:r>
    </w:p>
    <w:p w:rsidR="00786366" w:rsidRDefault="00786366" w:rsidP="00786366">
      <w:pPr>
        <w:spacing w:after="60"/>
      </w:pPr>
      <w:r>
        <w:t xml:space="preserve"> Razredi će se korigirati prema naknadnom uređenju groblja ( ograđivanje, izrada prilaznih putova, izgradnja mrtvačnice, izgradnja staza ).</w:t>
      </w:r>
    </w:p>
    <w:p w:rsidR="00786366" w:rsidRDefault="00786366" w:rsidP="00786366">
      <w:pPr>
        <w:spacing w:after="60"/>
        <w:jc w:val="center"/>
      </w:pPr>
    </w:p>
    <w:p w:rsidR="00786366" w:rsidRDefault="00786366" w:rsidP="00786366">
      <w:pPr>
        <w:spacing w:after="60"/>
        <w:jc w:val="center"/>
      </w:pPr>
      <w:r>
        <w:t>Članak 6.</w:t>
      </w:r>
    </w:p>
    <w:p w:rsidR="00786366" w:rsidRDefault="00786366" w:rsidP="00786366">
      <w:pPr>
        <w:spacing w:after="60"/>
        <w:jc w:val="both"/>
      </w:pPr>
      <w:r>
        <w:t xml:space="preserve">Navedene naknade iz Tablice 1. plaćaju korisnici, odnosno njihovi nasljednici jednom godišnje do 31. ožujka tekuće godine na temelju uplatnice koju će im Uprava groblja dostaviti do kraja siječnja tekuće godine. </w:t>
      </w:r>
    </w:p>
    <w:p w:rsidR="00786366" w:rsidRDefault="00786366" w:rsidP="00786366">
      <w:pPr>
        <w:spacing w:after="60"/>
        <w:jc w:val="center"/>
      </w:pPr>
      <w:r>
        <w:t>Članak 7.</w:t>
      </w:r>
    </w:p>
    <w:p w:rsidR="00786366" w:rsidRDefault="00786366" w:rsidP="00786366">
      <w:pPr>
        <w:spacing w:after="60"/>
      </w:pPr>
      <w:r>
        <w:t>Godišnja grobna naknada plaća se prema Rješenju koje donosi Uprava groblja. Obveza plaćanja grobne naknade nastaje danom dodjele grobnog mjesta te ako je isto dodijeljeno do 30. rujna naknada se određuje u ukupnom godišnjem iznos, a ako je dodjela izvršena nakon 31. rujna obveza plaćanja se određuje od 01. siječnja naredne godine.</w:t>
      </w:r>
    </w:p>
    <w:p w:rsidR="00786366" w:rsidRDefault="00786366" w:rsidP="00786366">
      <w:pPr>
        <w:spacing w:after="60"/>
      </w:pPr>
    </w:p>
    <w:p w:rsidR="00786366" w:rsidRPr="005D419D" w:rsidRDefault="00786366" w:rsidP="00786366">
      <w:pPr>
        <w:pStyle w:val="Odlomakpopisa"/>
        <w:numPr>
          <w:ilvl w:val="0"/>
          <w:numId w:val="1"/>
        </w:numPr>
        <w:spacing w:after="60" w:line="276" w:lineRule="auto"/>
        <w:contextualSpacing/>
        <w:rPr>
          <w:b/>
        </w:rPr>
      </w:pPr>
      <w:r w:rsidRPr="005D419D">
        <w:rPr>
          <w:b/>
        </w:rPr>
        <w:lastRenderedPageBreak/>
        <w:t>VISINA JEDNOKRATNE NAKNADE ZA DODJELU GROBNOG MJESTA NA KORIŠTENJE</w:t>
      </w:r>
    </w:p>
    <w:p w:rsidR="00786366" w:rsidRDefault="00786366" w:rsidP="00786366">
      <w:pPr>
        <w:spacing w:after="60"/>
        <w:jc w:val="center"/>
      </w:pPr>
      <w:r>
        <w:t>Članak 8.</w:t>
      </w:r>
    </w:p>
    <w:p w:rsidR="00786366" w:rsidRDefault="00786366" w:rsidP="00786366">
      <w:pPr>
        <w:spacing w:after="60"/>
      </w:pPr>
      <w:r>
        <w:t>Naknada kod dodjele grobnog mjesta na korištenje na neodređeno vrijeme plaća se u iznosu: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759"/>
        <w:gridCol w:w="2904"/>
        <w:gridCol w:w="3002"/>
      </w:tblGrid>
      <w:tr w:rsidR="00786366" w:rsidTr="00901123">
        <w:tc>
          <w:tcPr>
            <w:tcW w:w="392" w:type="dxa"/>
          </w:tcPr>
          <w:p w:rsidR="00786366" w:rsidRDefault="00786366" w:rsidP="00901123">
            <w:pPr>
              <w:tabs>
                <w:tab w:val="center" w:pos="4536"/>
                <w:tab w:val="right" w:pos="9072"/>
              </w:tabs>
              <w:spacing w:after="60"/>
            </w:pPr>
          </w:p>
        </w:tc>
        <w:tc>
          <w:tcPr>
            <w:tcW w:w="2835" w:type="dxa"/>
          </w:tcPr>
          <w:p w:rsidR="00786366" w:rsidRPr="00467DEC" w:rsidRDefault="00786366" w:rsidP="00901123">
            <w:pPr>
              <w:tabs>
                <w:tab w:val="center" w:pos="4536"/>
                <w:tab w:val="right" w:pos="9072"/>
              </w:tabs>
              <w:spacing w:after="60"/>
              <w:jc w:val="center"/>
              <w:rPr>
                <w:b/>
              </w:rPr>
            </w:pPr>
            <w:r w:rsidRPr="00467DEC">
              <w:rPr>
                <w:b/>
              </w:rPr>
              <w:t>UKOPNA MJESTA</w:t>
            </w:r>
          </w:p>
        </w:tc>
        <w:tc>
          <w:tcPr>
            <w:tcW w:w="2977" w:type="dxa"/>
          </w:tcPr>
          <w:p w:rsidR="00786366" w:rsidRPr="00467DEC" w:rsidRDefault="00786366" w:rsidP="00901123">
            <w:pPr>
              <w:tabs>
                <w:tab w:val="center" w:pos="4536"/>
                <w:tab w:val="right" w:pos="9072"/>
              </w:tabs>
              <w:spacing w:after="60"/>
              <w:jc w:val="center"/>
              <w:rPr>
                <w:b/>
              </w:rPr>
            </w:pPr>
            <w:r w:rsidRPr="00467DEC">
              <w:rPr>
                <w:b/>
              </w:rPr>
              <w:t>GROBLJE U IVANSKOJ</w:t>
            </w:r>
          </w:p>
        </w:tc>
        <w:tc>
          <w:tcPr>
            <w:tcW w:w="3084" w:type="dxa"/>
          </w:tcPr>
          <w:p w:rsidR="00786366" w:rsidRPr="00467DEC" w:rsidRDefault="00786366" w:rsidP="00901123">
            <w:pPr>
              <w:tabs>
                <w:tab w:val="center" w:pos="4536"/>
                <w:tab w:val="right" w:pos="9072"/>
              </w:tabs>
              <w:spacing w:after="60"/>
              <w:jc w:val="center"/>
              <w:rPr>
                <w:b/>
              </w:rPr>
            </w:pPr>
            <w:r w:rsidRPr="00467DEC">
              <w:rPr>
                <w:b/>
              </w:rPr>
              <w:t>OSTALA GROBLJA</w:t>
            </w:r>
          </w:p>
        </w:tc>
      </w:tr>
      <w:tr w:rsidR="00786366" w:rsidTr="00901123">
        <w:tc>
          <w:tcPr>
            <w:tcW w:w="392" w:type="dxa"/>
          </w:tcPr>
          <w:p w:rsidR="00786366" w:rsidRDefault="00786366" w:rsidP="00901123">
            <w:pPr>
              <w:tabs>
                <w:tab w:val="center" w:pos="4536"/>
                <w:tab w:val="right" w:pos="9072"/>
              </w:tabs>
              <w:spacing w:after="60"/>
            </w:pPr>
            <w:r>
              <w:t>1.</w:t>
            </w:r>
          </w:p>
        </w:tc>
        <w:tc>
          <w:tcPr>
            <w:tcW w:w="2835" w:type="dxa"/>
          </w:tcPr>
          <w:p w:rsidR="00786366" w:rsidRDefault="00786366" w:rsidP="00901123">
            <w:pPr>
              <w:tabs>
                <w:tab w:val="center" w:pos="4536"/>
                <w:tab w:val="right" w:pos="9072"/>
              </w:tabs>
              <w:spacing w:after="60"/>
            </w:pPr>
            <w:r>
              <w:t>jedno ukopno mjesto</w:t>
            </w:r>
          </w:p>
        </w:tc>
        <w:tc>
          <w:tcPr>
            <w:tcW w:w="2977" w:type="dxa"/>
          </w:tcPr>
          <w:p w:rsidR="00786366" w:rsidRDefault="00786366" w:rsidP="00901123">
            <w:pPr>
              <w:tabs>
                <w:tab w:val="center" w:pos="4536"/>
                <w:tab w:val="right" w:pos="9072"/>
              </w:tabs>
              <w:spacing w:after="60"/>
              <w:jc w:val="center"/>
            </w:pPr>
            <w:r>
              <w:t>500,00 kn</w:t>
            </w:r>
          </w:p>
        </w:tc>
        <w:tc>
          <w:tcPr>
            <w:tcW w:w="3084" w:type="dxa"/>
          </w:tcPr>
          <w:p w:rsidR="00786366" w:rsidRDefault="00786366" w:rsidP="00901123">
            <w:pPr>
              <w:tabs>
                <w:tab w:val="center" w:pos="4536"/>
                <w:tab w:val="right" w:pos="9072"/>
              </w:tabs>
              <w:spacing w:after="60"/>
              <w:jc w:val="center"/>
            </w:pPr>
            <w:r>
              <w:t>400,00 kn</w:t>
            </w:r>
          </w:p>
        </w:tc>
      </w:tr>
      <w:tr w:rsidR="00786366" w:rsidTr="00901123">
        <w:tc>
          <w:tcPr>
            <w:tcW w:w="392" w:type="dxa"/>
          </w:tcPr>
          <w:p w:rsidR="00786366" w:rsidRDefault="00786366" w:rsidP="00901123">
            <w:pPr>
              <w:tabs>
                <w:tab w:val="center" w:pos="4536"/>
                <w:tab w:val="right" w:pos="9072"/>
              </w:tabs>
              <w:spacing w:after="60"/>
            </w:pPr>
            <w:r>
              <w:t>2.</w:t>
            </w:r>
          </w:p>
        </w:tc>
        <w:tc>
          <w:tcPr>
            <w:tcW w:w="2835" w:type="dxa"/>
          </w:tcPr>
          <w:p w:rsidR="00786366" w:rsidRDefault="00786366" w:rsidP="00901123">
            <w:pPr>
              <w:tabs>
                <w:tab w:val="center" w:pos="4536"/>
                <w:tab w:val="right" w:pos="9072"/>
              </w:tabs>
              <w:spacing w:after="60"/>
            </w:pPr>
            <w:r>
              <w:t>dva ukopna mjesta</w:t>
            </w:r>
          </w:p>
        </w:tc>
        <w:tc>
          <w:tcPr>
            <w:tcW w:w="2977" w:type="dxa"/>
          </w:tcPr>
          <w:p w:rsidR="00786366" w:rsidRDefault="00786366" w:rsidP="00901123">
            <w:pPr>
              <w:tabs>
                <w:tab w:val="center" w:pos="4536"/>
                <w:tab w:val="right" w:pos="9072"/>
              </w:tabs>
              <w:spacing w:after="60"/>
              <w:jc w:val="center"/>
            </w:pPr>
            <w:r>
              <w:t>1.000,00 kn</w:t>
            </w:r>
          </w:p>
        </w:tc>
        <w:tc>
          <w:tcPr>
            <w:tcW w:w="3084" w:type="dxa"/>
          </w:tcPr>
          <w:p w:rsidR="00786366" w:rsidRDefault="00786366" w:rsidP="00901123">
            <w:pPr>
              <w:tabs>
                <w:tab w:val="center" w:pos="4536"/>
                <w:tab w:val="right" w:pos="9072"/>
              </w:tabs>
              <w:spacing w:after="60"/>
              <w:jc w:val="center"/>
            </w:pPr>
            <w:r>
              <w:t>800,00 kn</w:t>
            </w:r>
          </w:p>
        </w:tc>
      </w:tr>
      <w:tr w:rsidR="00786366" w:rsidTr="00901123">
        <w:tc>
          <w:tcPr>
            <w:tcW w:w="392" w:type="dxa"/>
          </w:tcPr>
          <w:p w:rsidR="00786366" w:rsidRDefault="00786366" w:rsidP="00901123">
            <w:pPr>
              <w:tabs>
                <w:tab w:val="center" w:pos="4536"/>
                <w:tab w:val="right" w:pos="9072"/>
              </w:tabs>
              <w:spacing w:after="60"/>
            </w:pPr>
            <w:r>
              <w:t>3.</w:t>
            </w:r>
          </w:p>
        </w:tc>
        <w:tc>
          <w:tcPr>
            <w:tcW w:w="2835" w:type="dxa"/>
          </w:tcPr>
          <w:p w:rsidR="00786366" w:rsidRDefault="00786366" w:rsidP="00901123">
            <w:pPr>
              <w:tabs>
                <w:tab w:val="center" w:pos="4536"/>
                <w:tab w:val="right" w:pos="9072"/>
              </w:tabs>
              <w:spacing w:after="60"/>
            </w:pPr>
            <w:r>
              <w:t>tri ukopna mjesta</w:t>
            </w:r>
          </w:p>
        </w:tc>
        <w:tc>
          <w:tcPr>
            <w:tcW w:w="2977" w:type="dxa"/>
          </w:tcPr>
          <w:p w:rsidR="00786366" w:rsidRDefault="00786366" w:rsidP="00901123">
            <w:pPr>
              <w:tabs>
                <w:tab w:val="center" w:pos="4536"/>
                <w:tab w:val="right" w:pos="9072"/>
              </w:tabs>
              <w:spacing w:after="60"/>
              <w:jc w:val="center"/>
            </w:pPr>
            <w:r>
              <w:t>1.450,00 kn</w:t>
            </w:r>
          </w:p>
        </w:tc>
        <w:tc>
          <w:tcPr>
            <w:tcW w:w="3084" w:type="dxa"/>
          </w:tcPr>
          <w:p w:rsidR="00786366" w:rsidRDefault="00786366" w:rsidP="00901123">
            <w:pPr>
              <w:tabs>
                <w:tab w:val="center" w:pos="4536"/>
                <w:tab w:val="right" w:pos="9072"/>
              </w:tabs>
              <w:spacing w:after="60"/>
              <w:jc w:val="center"/>
            </w:pPr>
            <w:r>
              <w:t>1.150,00 kn</w:t>
            </w:r>
          </w:p>
        </w:tc>
      </w:tr>
      <w:tr w:rsidR="00786366" w:rsidTr="00901123">
        <w:tc>
          <w:tcPr>
            <w:tcW w:w="392" w:type="dxa"/>
          </w:tcPr>
          <w:p w:rsidR="00786366" w:rsidRDefault="00786366" w:rsidP="00901123">
            <w:pPr>
              <w:tabs>
                <w:tab w:val="center" w:pos="4536"/>
                <w:tab w:val="right" w:pos="9072"/>
              </w:tabs>
              <w:spacing w:after="60"/>
            </w:pPr>
            <w:r>
              <w:t>4.</w:t>
            </w:r>
          </w:p>
        </w:tc>
        <w:tc>
          <w:tcPr>
            <w:tcW w:w="2835" w:type="dxa"/>
          </w:tcPr>
          <w:p w:rsidR="00786366" w:rsidRDefault="00786366" w:rsidP="00901123">
            <w:pPr>
              <w:tabs>
                <w:tab w:val="center" w:pos="4536"/>
                <w:tab w:val="right" w:pos="9072"/>
              </w:tabs>
              <w:spacing w:after="60"/>
            </w:pPr>
            <w:r>
              <w:t>četiri ukopna mjesta</w:t>
            </w:r>
          </w:p>
        </w:tc>
        <w:tc>
          <w:tcPr>
            <w:tcW w:w="2977" w:type="dxa"/>
          </w:tcPr>
          <w:p w:rsidR="00786366" w:rsidRDefault="00786366" w:rsidP="00901123">
            <w:pPr>
              <w:tabs>
                <w:tab w:val="center" w:pos="4536"/>
                <w:tab w:val="right" w:pos="9072"/>
              </w:tabs>
              <w:spacing w:after="60"/>
              <w:jc w:val="center"/>
            </w:pPr>
            <w:r>
              <w:t>1.900,00 kn</w:t>
            </w:r>
          </w:p>
        </w:tc>
        <w:tc>
          <w:tcPr>
            <w:tcW w:w="3084" w:type="dxa"/>
          </w:tcPr>
          <w:p w:rsidR="00786366" w:rsidRDefault="00786366" w:rsidP="00901123">
            <w:pPr>
              <w:tabs>
                <w:tab w:val="center" w:pos="4536"/>
                <w:tab w:val="right" w:pos="9072"/>
              </w:tabs>
              <w:spacing w:after="60"/>
              <w:jc w:val="center"/>
            </w:pPr>
            <w:r>
              <w:t>1.500,00 kn</w:t>
            </w:r>
          </w:p>
        </w:tc>
      </w:tr>
      <w:tr w:rsidR="00786366" w:rsidTr="00901123">
        <w:tc>
          <w:tcPr>
            <w:tcW w:w="392" w:type="dxa"/>
          </w:tcPr>
          <w:p w:rsidR="00786366" w:rsidRDefault="00786366" w:rsidP="00901123">
            <w:pPr>
              <w:tabs>
                <w:tab w:val="center" w:pos="4536"/>
                <w:tab w:val="right" w:pos="9072"/>
              </w:tabs>
              <w:spacing w:after="60"/>
            </w:pPr>
            <w:r>
              <w:t>5.</w:t>
            </w:r>
          </w:p>
        </w:tc>
        <w:tc>
          <w:tcPr>
            <w:tcW w:w="2835" w:type="dxa"/>
          </w:tcPr>
          <w:p w:rsidR="00786366" w:rsidRDefault="00786366" w:rsidP="00901123">
            <w:pPr>
              <w:tabs>
                <w:tab w:val="center" w:pos="4536"/>
                <w:tab w:val="right" w:pos="9072"/>
              </w:tabs>
              <w:spacing w:after="60"/>
            </w:pPr>
            <w:r>
              <w:t>pet ukopnih mjesta</w:t>
            </w:r>
          </w:p>
        </w:tc>
        <w:tc>
          <w:tcPr>
            <w:tcW w:w="2977" w:type="dxa"/>
          </w:tcPr>
          <w:p w:rsidR="00786366" w:rsidRDefault="00786366" w:rsidP="00901123">
            <w:pPr>
              <w:tabs>
                <w:tab w:val="center" w:pos="4536"/>
                <w:tab w:val="right" w:pos="9072"/>
              </w:tabs>
              <w:spacing w:after="60"/>
              <w:jc w:val="center"/>
            </w:pPr>
            <w:r>
              <w:t>2.350,00 kn</w:t>
            </w:r>
          </w:p>
        </w:tc>
        <w:tc>
          <w:tcPr>
            <w:tcW w:w="3084" w:type="dxa"/>
          </w:tcPr>
          <w:p w:rsidR="00786366" w:rsidRDefault="00786366" w:rsidP="00901123">
            <w:pPr>
              <w:tabs>
                <w:tab w:val="center" w:pos="4536"/>
                <w:tab w:val="right" w:pos="9072"/>
              </w:tabs>
              <w:spacing w:after="60"/>
              <w:jc w:val="center"/>
            </w:pPr>
            <w:r>
              <w:t>1.850,00 kn</w:t>
            </w:r>
          </w:p>
        </w:tc>
      </w:tr>
    </w:tbl>
    <w:p w:rsidR="00786366" w:rsidRDefault="00786366" w:rsidP="00786366">
      <w:pPr>
        <w:spacing w:after="60"/>
      </w:pPr>
      <w:r>
        <w:t>tablica 2.</w:t>
      </w:r>
    </w:p>
    <w:p w:rsidR="00786366" w:rsidRDefault="00786366" w:rsidP="00786366">
      <w:pPr>
        <w:spacing w:after="60"/>
        <w:jc w:val="center"/>
      </w:pPr>
      <w:r>
        <w:t>Članak 9.</w:t>
      </w:r>
    </w:p>
    <w:p w:rsidR="00786366" w:rsidRDefault="00786366" w:rsidP="00786366">
      <w:pPr>
        <w:spacing w:after="60"/>
      </w:pPr>
      <w:r>
        <w:t>Navedene nakade iz Tablice 2. plaćaju korisnici, odnosno njihovi nasljednici u roku od 8 dana od dana pravomoćnosti rješenja o davanju grobnog mjesta na korištenje na neodređeno vrijeme.</w:t>
      </w:r>
    </w:p>
    <w:p w:rsidR="00786366" w:rsidRDefault="00786366" w:rsidP="00786366">
      <w:pPr>
        <w:spacing w:after="60"/>
      </w:pPr>
      <w:r>
        <w:t>Iznos naknade iz Tablice 2. za korisnike grobnih mjesta koji nemaju stalno prebivalište u općini Ivanska, a državljani su Republike Hrvatske, uvećava se za 50%.</w:t>
      </w:r>
    </w:p>
    <w:p w:rsidR="00786366" w:rsidRDefault="00786366" w:rsidP="00786366">
      <w:pPr>
        <w:spacing w:after="60"/>
      </w:pPr>
      <w:r>
        <w:t>Iznos naknade iz Tablice 2. za korisnike grobnih mjesta koji su strani državljani uvećava se za 100%.</w:t>
      </w:r>
    </w:p>
    <w:p w:rsidR="00786366" w:rsidRDefault="00786366" w:rsidP="00786366">
      <w:pPr>
        <w:spacing w:after="60"/>
      </w:pPr>
      <w:r>
        <w:t>Plaćanja naknade iz Tablice 2. oslobođeni su roditelji i skrbnici umrle djece do starosti 15 godina.</w:t>
      </w:r>
    </w:p>
    <w:p w:rsidR="00786366" w:rsidRDefault="00786366" w:rsidP="00786366">
      <w:pPr>
        <w:spacing w:after="60"/>
        <w:jc w:val="center"/>
      </w:pPr>
      <w:r>
        <w:t>Članak 10.</w:t>
      </w:r>
    </w:p>
    <w:p w:rsidR="00786366" w:rsidRDefault="00786366" w:rsidP="00786366">
      <w:pPr>
        <w:spacing w:after="60"/>
      </w:pPr>
      <w:r>
        <w:t>Sredstva prikupljena od naknada utvrđenih ovom Odlukom koristiti će se isključivo za uređenje i održavanje groblja na području Općine Ivanska sukladno članku 51. stavku 4. Odluke o upravljanju i održavanju grobljima na području općine Ivanska.</w:t>
      </w:r>
    </w:p>
    <w:p w:rsidR="00786366" w:rsidRDefault="00786366" w:rsidP="00786366">
      <w:pPr>
        <w:spacing w:after="60"/>
        <w:jc w:val="center"/>
      </w:pPr>
      <w:r>
        <w:t>Članak 11.</w:t>
      </w:r>
    </w:p>
    <w:p w:rsidR="00786366" w:rsidRDefault="00786366" w:rsidP="00786366">
      <w:pPr>
        <w:spacing w:after="60"/>
      </w:pPr>
      <w:r>
        <w:t>Svi ostali uvjeti koji nisu obuhvaćeni ovom Odlukom utvrdit će se između korisnika grobnih mjesta i Uprave groblja.</w:t>
      </w:r>
    </w:p>
    <w:p w:rsidR="00786366" w:rsidRDefault="00786366" w:rsidP="00786366">
      <w:pPr>
        <w:spacing w:after="60"/>
        <w:jc w:val="center"/>
      </w:pPr>
      <w:r>
        <w:t>Članak 12.</w:t>
      </w:r>
    </w:p>
    <w:p w:rsidR="00786366" w:rsidRDefault="00786366" w:rsidP="00786366">
      <w:pPr>
        <w:spacing w:after="60"/>
      </w:pPr>
      <w:r>
        <w:t>Ova odluka stupa na snagu dobivanjem suglasnosti Općinskog vijeća a primjenjivat će se od 01. siječnja 2015. godine i biti će objavljenja u Službenom vjesniku Općine Ivanska te na oglasnoj ploči društva.</w:t>
      </w:r>
    </w:p>
    <w:p w:rsidR="00786366" w:rsidRDefault="00786366" w:rsidP="00786366">
      <w:pPr>
        <w:spacing w:after="60"/>
      </w:pPr>
    </w:p>
    <w:p w:rsidR="00786366" w:rsidRDefault="00786366" w:rsidP="00786366">
      <w:pPr>
        <w:spacing w:after="60"/>
      </w:pPr>
      <w:r>
        <w:t xml:space="preserve">U </w:t>
      </w:r>
      <w:proofErr w:type="spellStart"/>
      <w:r>
        <w:t>Ivanskoj</w:t>
      </w:r>
      <w:proofErr w:type="spellEnd"/>
      <w:r>
        <w:t>, 11. kolovoza, 2014. godine</w:t>
      </w:r>
    </w:p>
    <w:p w:rsidR="00786366" w:rsidRDefault="00786366" w:rsidP="00EA0236">
      <w:pPr>
        <w:pStyle w:val="Bezproreda"/>
        <w:ind w:left="7080" w:firstLine="708"/>
      </w:pPr>
      <w:r>
        <w:t>DIREKTOR:</w:t>
      </w:r>
    </w:p>
    <w:p w:rsidR="00786366" w:rsidRPr="006B4B25" w:rsidRDefault="00786366" w:rsidP="00EA0236">
      <w:pPr>
        <w:pStyle w:val="Bezproreda"/>
        <w:jc w:val="right"/>
      </w:pPr>
      <w:bookmarkStart w:id="0" w:name="_GoBack"/>
      <w:bookmarkEnd w:id="0"/>
      <w:r>
        <w:t xml:space="preserve">Darko </w:t>
      </w:r>
      <w:proofErr w:type="spellStart"/>
      <w:r>
        <w:t>Turković</w:t>
      </w:r>
      <w:proofErr w:type="spellEnd"/>
      <w:r>
        <w:t xml:space="preserve">, v.r.                              </w:t>
      </w:r>
    </w:p>
    <w:p w:rsidR="00F067C6" w:rsidRPr="00786366" w:rsidRDefault="00F067C6" w:rsidP="00786366"/>
    <w:sectPr w:rsidR="00F067C6" w:rsidRPr="007863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40FD3"/>
    <w:multiLevelType w:val="hybridMultilevel"/>
    <w:tmpl w:val="B5C4A4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5F47E26"/>
    <w:multiLevelType w:val="hybridMultilevel"/>
    <w:tmpl w:val="606C79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4F8"/>
    <w:rsid w:val="00786366"/>
    <w:rsid w:val="00EA0236"/>
    <w:rsid w:val="00F067C6"/>
    <w:rsid w:val="00FE04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CC11B"/>
  <w15:chartTrackingRefBased/>
  <w15:docId w15:val="{F4A95044-1D96-4D77-8760-7823BDDB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4F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86366"/>
    <w:pPr>
      <w:spacing w:after="0" w:line="240" w:lineRule="auto"/>
    </w:pPr>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78636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796</Words>
  <Characters>4538</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Ivanska</dc:creator>
  <cp:keywords/>
  <dc:description/>
  <cp:lastModifiedBy>Općina Ivanska</cp:lastModifiedBy>
  <cp:revision>4</cp:revision>
  <dcterms:created xsi:type="dcterms:W3CDTF">2018-01-30T10:22:00Z</dcterms:created>
  <dcterms:modified xsi:type="dcterms:W3CDTF">2018-02-01T13:25:00Z</dcterms:modified>
</cp:coreProperties>
</file>